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276" w:rsidRPr="00DF2025" w:rsidRDefault="001B0448" w:rsidP="00683276">
      <w:pPr>
        <w:jc w:val="center"/>
        <w:rPr>
          <w:rFonts w:asciiTheme="majorHAnsi" w:hAnsiTheme="majorHAnsi"/>
          <w:b/>
          <w:color w:val="365F91" w:themeColor="accent1" w:themeShade="BF"/>
          <w:sz w:val="32"/>
        </w:rPr>
      </w:pPr>
      <w:bookmarkStart w:id="0" w:name="_GoBack"/>
      <w:bookmarkEnd w:id="0"/>
      <w:r w:rsidRPr="00DF2025">
        <w:rPr>
          <w:rFonts w:asciiTheme="majorHAnsi" w:hAnsiTheme="majorHAnsi"/>
          <w:b/>
          <w:color w:val="365F91" w:themeColor="accent1" w:themeShade="BF"/>
          <w:sz w:val="32"/>
        </w:rPr>
        <w:t>Gu</w:t>
      </w:r>
      <w:r w:rsidR="00683276" w:rsidRPr="00DF2025">
        <w:rPr>
          <w:rFonts w:asciiTheme="majorHAnsi" w:hAnsiTheme="majorHAnsi"/>
          <w:b/>
          <w:color w:val="365F91" w:themeColor="accent1" w:themeShade="BF"/>
          <w:sz w:val="32"/>
        </w:rPr>
        <w:t>ide to using Cross Walk Policy Assessment Tool</w:t>
      </w:r>
      <w:r w:rsidR="00C938D5" w:rsidRPr="00DF2025">
        <w:rPr>
          <w:rFonts w:asciiTheme="majorHAnsi" w:hAnsiTheme="majorHAnsi"/>
          <w:b/>
          <w:color w:val="365F91" w:themeColor="accent1" w:themeShade="BF"/>
          <w:sz w:val="32"/>
        </w:rPr>
        <w:t xml:space="preserve"> for</w:t>
      </w:r>
    </w:p>
    <w:p w:rsidR="00171D52" w:rsidRPr="00DF2025" w:rsidRDefault="00755770" w:rsidP="00683276">
      <w:pPr>
        <w:jc w:val="center"/>
        <w:rPr>
          <w:rFonts w:asciiTheme="majorHAnsi" w:hAnsiTheme="majorHAnsi"/>
          <w:b/>
          <w:color w:val="365F91" w:themeColor="accent1" w:themeShade="BF"/>
          <w:sz w:val="32"/>
        </w:rPr>
      </w:pPr>
      <w:r w:rsidRPr="00DF2025">
        <w:rPr>
          <w:rFonts w:asciiTheme="majorHAnsi" w:hAnsiTheme="majorHAnsi"/>
          <w:b/>
          <w:color w:val="365F91" w:themeColor="accent1" w:themeShade="BF"/>
          <w:sz w:val="32"/>
        </w:rPr>
        <w:t>Initial and</w:t>
      </w:r>
      <w:r w:rsidR="00C938D5" w:rsidRPr="00DF2025">
        <w:rPr>
          <w:rFonts w:asciiTheme="majorHAnsi" w:hAnsiTheme="majorHAnsi"/>
          <w:b/>
          <w:color w:val="365F91" w:themeColor="accent1" w:themeShade="BF"/>
          <w:sz w:val="32"/>
        </w:rPr>
        <w:t>/or</w:t>
      </w:r>
      <w:r w:rsidRPr="00DF2025">
        <w:rPr>
          <w:rFonts w:asciiTheme="majorHAnsi" w:hAnsiTheme="majorHAnsi"/>
          <w:b/>
          <w:color w:val="365F91" w:themeColor="accent1" w:themeShade="BF"/>
          <w:sz w:val="32"/>
        </w:rPr>
        <w:t xml:space="preserve"> Periodic </w:t>
      </w:r>
      <w:r w:rsidR="006F748C" w:rsidRPr="00DF2025">
        <w:rPr>
          <w:rFonts w:asciiTheme="majorHAnsi" w:hAnsiTheme="majorHAnsi"/>
          <w:b/>
          <w:color w:val="365F91" w:themeColor="accent1" w:themeShade="BF"/>
          <w:sz w:val="32"/>
        </w:rPr>
        <w:t>Asse</w:t>
      </w:r>
      <w:r w:rsidRPr="00DF2025">
        <w:rPr>
          <w:rFonts w:asciiTheme="majorHAnsi" w:hAnsiTheme="majorHAnsi"/>
          <w:b/>
          <w:color w:val="365F91" w:themeColor="accent1" w:themeShade="BF"/>
          <w:sz w:val="32"/>
        </w:rPr>
        <w:t>s</w:t>
      </w:r>
      <w:r w:rsidR="006F748C" w:rsidRPr="00DF2025">
        <w:rPr>
          <w:rFonts w:asciiTheme="majorHAnsi" w:hAnsiTheme="majorHAnsi"/>
          <w:b/>
          <w:color w:val="365F91" w:themeColor="accent1" w:themeShade="BF"/>
          <w:sz w:val="32"/>
        </w:rPr>
        <w:t>s</w:t>
      </w:r>
      <w:r w:rsidRPr="00DF2025">
        <w:rPr>
          <w:rFonts w:asciiTheme="majorHAnsi" w:hAnsiTheme="majorHAnsi"/>
          <w:b/>
          <w:color w:val="365F91" w:themeColor="accent1" w:themeShade="BF"/>
          <w:sz w:val="32"/>
        </w:rPr>
        <w:t>ment of</w:t>
      </w:r>
      <w:r w:rsidR="006F748C" w:rsidRPr="00DF2025">
        <w:rPr>
          <w:rFonts w:asciiTheme="majorHAnsi" w:hAnsiTheme="majorHAnsi"/>
          <w:b/>
          <w:color w:val="365F91" w:themeColor="accent1" w:themeShade="BF"/>
          <w:sz w:val="32"/>
        </w:rPr>
        <w:t xml:space="preserve"> Security and Confidentiality </w:t>
      </w:r>
      <w:proofErr w:type="gramStart"/>
      <w:r w:rsidR="006F748C" w:rsidRPr="00DF2025">
        <w:rPr>
          <w:rFonts w:asciiTheme="majorHAnsi" w:hAnsiTheme="majorHAnsi"/>
          <w:b/>
          <w:color w:val="365F91" w:themeColor="accent1" w:themeShade="BF"/>
          <w:sz w:val="32"/>
        </w:rPr>
        <w:t>Policy(</w:t>
      </w:r>
      <w:proofErr w:type="spellStart"/>
      <w:proofErr w:type="gramEnd"/>
      <w:r w:rsidR="006F748C" w:rsidRPr="00DF2025">
        <w:rPr>
          <w:rFonts w:asciiTheme="majorHAnsi" w:hAnsiTheme="majorHAnsi"/>
          <w:b/>
          <w:color w:val="365F91" w:themeColor="accent1" w:themeShade="BF"/>
          <w:sz w:val="32"/>
        </w:rPr>
        <w:t>ies</w:t>
      </w:r>
      <w:proofErr w:type="spellEnd"/>
      <w:r w:rsidR="006F748C" w:rsidRPr="00DF2025">
        <w:rPr>
          <w:rFonts w:asciiTheme="majorHAnsi" w:hAnsiTheme="majorHAnsi"/>
          <w:b/>
          <w:color w:val="365F91" w:themeColor="accent1" w:themeShade="BF"/>
          <w:sz w:val="32"/>
        </w:rPr>
        <w:t>)</w:t>
      </w:r>
    </w:p>
    <w:p w:rsidR="001B0448" w:rsidRPr="00DF2025" w:rsidRDefault="001B0448">
      <w:pPr>
        <w:rPr>
          <w:rFonts w:asciiTheme="majorHAnsi" w:hAnsiTheme="majorHAnsi"/>
          <w:b/>
          <w:color w:val="365F91" w:themeColor="accent1" w:themeShade="BF"/>
          <w:sz w:val="32"/>
        </w:rPr>
      </w:pPr>
    </w:p>
    <w:p w:rsidR="006F748C" w:rsidRPr="00674FEA" w:rsidRDefault="00E223E4">
      <w:hyperlink r:id="rId8" w:history="1">
        <w:r w:rsidR="00CF1C1A" w:rsidRPr="004A3F20">
          <w:rPr>
            <w:rStyle w:val="Hyperlink"/>
          </w:rPr>
          <w:t>The Data Security and Confidentiality Guidelines</w:t>
        </w:r>
      </w:hyperlink>
      <w:r w:rsidR="00CF1C1A" w:rsidRPr="00674FEA">
        <w:t xml:space="preserve"> for HIV, Viral Hepatitis, Sexually Transmitted Disease, and Tuberculosis Programs: Standards to Facilitate Sharing and Use of Surveillance Data for Public Health Action published in 2011 (hereafter referred to as the 2011 S&amp;C Guidelines) </w:t>
      </w:r>
      <w:r w:rsidR="006F748C" w:rsidRPr="00674FEA">
        <w:t xml:space="preserve">address five </w:t>
      </w:r>
      <w:r w:rsidR="004A3F20">
        <w:t>topic</w:t>
      </w:r>
      <w:r w:rsidR="004A3F20" w:rsidRPr="00674FEA">
        <w:t xml:space="preserve"> areas</w:t>
      </w:r>
      <w:r w:rsidR="006F748C" w:rsidRPr="00674FEA">
        <w:t xml:space="preserve">:  1) program policies and responsibilities, 2) data collection and use, 3) data sharing and release, 4) physical security and, 5) electronic data security. Each of these </w:t>
      </w:r>
      <w:r w:rsidR="00AE2708">
        <w:t xml:space="preserve">topic </w:t>
      </w:r>
      <w:r w:rsidR="006F748C" w:rsidRPr="00674FEA">
        <w:t>areas has standards that all policies should meet.</w:t>
      </w:r>
    </w:p>
    <w:p w:rsidR="006F748C" w:rsidRPr="00674FEA" w:rsidRDefault="006F748C"/>
    <w:p w:rsidR="00427307" w:rsidRPr="00674FEA" w:rsidRDefault="00051E88">
      <w:r w:rsidRPr="00674FEA">
        <w:t>The Cross Wal</w:t>
      </w:r>
      <w:r w:rsidR="00CF1C1A" w:rsidRPr="00674FEA">
        <w:t>k</w:t>
      </w:r>
      <w:r w:rsidRPr="00674FEA">
        <w:t xml:space="preserve"> Policy Assessment Tool</w:t>
      </w:r>
      <w:r w:rsidR="006F748C" w:rsidRPr="00674FEA">
        <w:t xml:space="preserve"> </w:t>
      </w:r>
      <w:r w:rsidR="00D24111">
        <w:t>has six sheets -</w:t>
      </w:r>
      <w:r w:rsidR="002C59CF">
        <w:t xml:space="preserve"> one to list existing </w:t>
      </w:r>
      <w:r w:rsidR="00D24111">
        <w:t>policies</w:t>
      </w:r>
      <w:r w:rsidR="002C59CF">
        <w:t xml:space="preserve"> for each disease/program</w:t>
      </w:r>
      <w:r w:rsidR="00D24111">
        <w:t xml:space="preserve"> </w:t>
      </w:r>
      <w:r w:rsidR="003B44B2">
        <w:t xml:space="preserve">area </w:t>
      </w:r>
      <w:r w:rsidR="00896A6C">
        <w:t>as well as Health Department-wide</w:t>
      </w:r>
      <w:r w:rsidR="003B44B2">
        <w:t xml:space="preserve"> policies </w:t>
      </w:r>
      <w:r w:rsidR="00D24111">
        <w:t xml:space="preserve">and the </w:t>
      </w:r>
      <w:r w:rsidR="002C59CF">
        <w:t>remaining</w:t>
      </w:r>
      <w:r w:rsidR="00D24111">
        <w:t xml:space="preserve"> five for each of the </w:t>
      </w:r>
      <w:r w:rsidR="00755770">
        <w:t>topic areas</w:t>
      </w:r>
      <w:r w:rsidR="003B44B2">
        <w:t xml:space="preserve"> listed above</w:t>
      </w:r>
      <w:r w:rsidR="00D24111">
        <w:t xml:space="preserve">. </w:t>
      </w:r>
      <w:r w:rsidR="00755770">
        <w:t>Each sheet lists the standards associated with each topic area</w:t>
      </w:r>
      <w:r w:rsidR="003B44B2">
        <w:t xml:space="preserve"> taken from the Appendix B: Checklists for Assessment of Data Security and </w:t>
      </w:r>
      <w:r w:rsidR="0015224F">
        <w:t>Confidentiality</w:t>
      </w:r>
      <w:r w:rsidR="003B44B2">
        <w:t xml:space="preserve"> Protections (pages </w:t>
      </w:r>
      <w:r w:rsidR="004A3F20">
        <w:t>45-54</w:t>
      </w:r>
      <w:r w:rsidR="003B44B2">
        <w:t>) of the 2011 S&amp;C Guidelines</w:t>
      </w:r>
      <w:r w:rsidR="00755770">
        <w:t xml:space="preserve">. </w:t>
      </w:r>
      <w:r w:rsidR="00D24111">
        <w:t xml:space="preserve">This tool </w:t>
      </w:r>
      <w:r w:rsidR="006F748C" w:rsidRPr="00674FEA">
        <w:t xml:space="preserve">can be used to evaluate whether </w:t>
      </w:r>
      <w:r w:rsidR="0015224F">
        <w:t>a health department’s</w:t>
      </w:r>
      <w:r w:rsidR="0015224F" w:rsidRPr="00674FEA">
        <w:t xml:space="preserve"> </w:t>
      </w:r>
      <w:proofErr w:type="gramStart"/>
      <w:r w:rsidR="006F748C" w:rsidRPr="00674FEA">
        <w:t>policy(</w:t>
      </w:r>
      <w:proofErr w:type="spellStart"/>
      <w:proofErr w:type="gramEnd"/>
      <w:r w:rsidR="006F748C" w:rsidRPr="00674FEA">
        <w:t>ies</w:t>
      </w:r>
      <w:proofErr w:type="spellEnd"/>
      <w:r w:rsidR="006F748C" w:rsidRPr="00674FEA">
        <w:t xml:space="preserve">) meet the standards and show any potential inconsistencies between multiple policies. </w:t>
      </w:r>
      <w:r w:rsidR="00D22E32" w:rsidRPr="00D22E32">
        <w:t>It was created with the intention of comparing compliance to the standards among multiple policies for each disease/program area</w:t>
      </w:r>
      <w:r w:rsidR="00E53567">
        <w:rPr>
          <w:rStyle w:val="FootnoteReference"/>
        </w:rPr>
        <w:footnoteReference w:id="1"/>
      </w:r>
      <w:r w:rsidR="00D22E32" w:rsidRPr="00D22E32">
        <w:t xml:space="preserve">. </w:t>
      </w:r>
      <w:r w:rsidR="00D22E32">
        <w:t xml:space="preserve"> </w:t>
      </w:r>
      <w:r w:rsidR="003B44B2">
        <w:t xml:space="preserve">Once you have completed the tool, you will be able to easily identify similarities and differences </w:t>
      </w:r>
      <w:r w:rsidR="00721BDD">
        <w:t xml:space="preserve">in policies and procedures </w:t>
      </w:r>
      <w:r w:rsidR="003B44B2">
        <w:t xml:space="preserve">across disease programs, areas for improvement and </w:t>
      </w:r>
      <w:r w:rsidR="00721BDD">
        <w:t xml:space="preserve">areas where more information may be needed.  </w:t>
      </w:r>
      <w:r w:rsidR="0015224F">
        <w:t xml:space="preserve"> It</w:t>
      </w:r>
      <w:r w:rsidR="00AF53F7" w:rsidRPr="00674FEA">
        <w:t xml:space="preserve"> </w:t>
      </w:r>
      <w:r w:rsidR="00C938D5">
        <w:t>can</w:t>
      </w:r>
      <w:r w:rsidR="0015224F">
        <w:t xml:space="preserve"> be used to</w:t>
      </w:r>
      <w:r w:rsidR="00C938D5">
        <w:t xml:space="preserve"> </w:t>
      </w:r>
      <w:r w:rsidR="00AF53F7" w:rsidRPr="00674FEA">
        <w:t>assist you in determining</w:t>
      </w:r>
      <w:r w:rsidR="00CF1C1A" w:rsidRPr="00674FEA">
        <w:t xml:space="preserve"> whether to </w:t>
      </w:r>
      <w:r w:rsidR="002C59CF">
        <w:t>write</w:t>
      </w:r>
      <w:r w:rsidR="0015224F">
        <w:t xml:space="preserve"> or </w:t>
      </w:r>
      <w:r w:rsidR="00B31002">
        <w:t>adapt</w:t>
      </w:r>
      <w:r w:rsidR="00CF1C1A" w:rsidRPr="00674FEA">
        <w:t xml:space="preserve"> one policy </w:t>
      </w:r>
      <w:r w:rsidR="0015224F">
        <w:t>to apply to all</w:t>
      </w:r>
      <w:r w:rsidR="00CF1C1A" w:rsidRPr="00674FEA">
        <w:t xml:space="preserve"> program areas or whether </w:t>
      </w:r>
      <w:r w:rsidR="00427307" w:rsidRPr="00674FEA">
        <w:t>program</w:t>
      </w:r>
      <w:r w:rsidR="00CF1C1A" w:rsidRPr="00674FEA">
        <w:t xml:space="preserve"> specific policies </w:t>
      </w:r>
      <w:r w:rsidR="0015224F">
        <w:t>which each</w:t>
      </w:r>
      <w:r w:rsidR="00CF1C1A" w:rsidRPr="00674FEA">
        <w:t xml:space="preserve"> adhere to the standards</w:t>
      </w:r>
      <w:r w:rsidR="0015224F" w:rsidRPr="0015224F">
        <w:t xml:space="preserve"> </w:t>
      </w:r>
      <w:r w:rsidR="0015224F" w:rsidRPr="00674FEA">
        <w:t>are needed</w:t>
      </w:r>
      <w:r w:rsidR="00CF1C1A" w:rsidRPr="00674FEA">
        <w:t xml:space="preserve">. </w:t>
      </w:r>
      <w:r w:rsidR="00BF5888" w:rsidRPr="00674FEA">
        <w:t>We recommend that t</w:t>
      </w:r>
      <w:r w:rsidR="00CF1C1A" w:rsidRPr="00674FEA">
        <w:t xml:space="preserve">he </w:t>
      </w:r>
      <w:r w:rsidR="00A50D7B">
        <w:t>work to complete the too</w:t>
      </w:r>
      <w:r w:rsidR="003B44B2">
        <w:t>l</w:t>
      </w:r>
      <w:r w:rsidR="00CF1C1A" w:rsidRPr="00674FEA">
        <w:t xml:space="preserve"> be done by the person(s) most familiar with the policy for each </w:t>
      </w:r>
      <w:r w:rsidR="00427307" w:rsidRPr="00674FEA">
        <w:t xml:space="preserve">program </w:t>
      </w:r>
      <w:r w:rsidR="009433C7" w:rsidRPr="00674FEA">
        <w:t>area</w:t>
      </w:r>
      <w:r w:rsidR="00A9453C">
        <w:t xml:space="preserve"> and for your health department overall</w:t>
      </w:r>
      <w:r w:rsidR="00CF1C1A" w:rsidRPr="00674FEA">
        <w:t>.</w:t>
      </w:r>
      <w:r w:rsidR="00D24111">
        <w:t xml:space="preserve"> </w:t>
      </w:r>
      <w:r w:rsidR="00721BDD">
        <w:t xml:space="preserve">We also recommend consulting with your legal and IT colleagues to ensure that </w:t>
      </w:r>
      <w:r w:rsidR="00A9453C">
        <w:t xml:space="preserve">standards relating to legal and technological issues are addressed.  </w:t>
      </w:r>
    </w:p>
    <w:p w:rsidR="009433C7" w:rsidRPr="00674FEA" w:rsidRDefault="00427307">
      <w:r w:rsidRPr="00674FEA">
        <w:t xml:space="preserve"> </w:t>
      </w:r>
    </w:p>
    <w:p w:rsidR="00BF5888" w:rsidRPr="00674FEA" w:rsidRDefault="00BF5888"/>
    <w:p w:rsidR="00BF5888" w:rsidRDefault="00A9453C">
      <w:r>
        <w:t xml:space="preserve">A first step is to review the health department’s organizational structure and </w:t>
      </w:r>
      <w:r w:rsidR="00286B87">
        <w:t>i</w:t>
      </w:r>
      <w:r w:rsidR="00121061">
        <w:t>dentify</w:t>
      </w:r>
      <w:r>
        <w:t xml:space="preserve"> existing policies for</w:t>
      </w:r>
      <w:r w:rsidR="00121061">
        <w:t xml:space="preserve"> specific</w:t>
      </w:r>
      <w:r>
        <w:t xml:space="preserve"> disease programs</w:t>
      </w:r>
      <w:r w:rsidR="00121061">
        <w:t xml:space="preserve">, policies at the division level, </w:t>
      </w:r>
      <w:r>
        <w:t xml:space="preserve">and </w:t>
      </w:r>
      <w:r w:rsidR="00121061">
        <w:t>at</w:t>
      </w:r>
      <w:r>
        <w:t xml:space="preserve"> the </w:t>
      </w:r>
      <w:r w:rsidR="00896A6C">
        <w:t>Health Department</w:t>
      </w:r>
      <w:r>
        <w:t xml:space="preserve"> level.  </w:t>
      </w:r>
      <w:r w:rsidR="00F17E9D">
        <w:t xml:space="preserve"> The rows across the top are meant to indicate the separate disease areas</w:t>
      </w:r>
      <w:r w:rsidR="00121061">
        <w:t xml:space="preserve"> covered by the </w:t>
      </w:r>
      <w:r w:rsidR="00121061" w:rsidRPr="00674FEA">
        <w:t>S&amp;C Guidelines</w:t>
      </w:r>
      <w:r w:rsidR="00A77416">
        <w:t xml:space="preserve"> but row titles can be renamed</w:t>
      </w:r>
      <w:r w:rsidR="00121061">
        <w:t xml:space="preserve"> </w:t>
      </w:r>
      <w:r w:rsidR="00A77416" w:rsidRPr="00674FEA">
        <w:t>to better fit the organizational structure in your agency. We do not recommend simply deleting them as this tool can be used in the future to evaluate ongoing compliance by each program area.</w:t>
      </w:r>
      <w:r w:rsidR="00286B87">
        <w:t xml:space="preserve"> </w:t>
      </w:r>
      <w:r w:rsidR="00BF5888" w:rsidRPr="00674FEA">
        <w:t>You can also rename the</w:t>
      </w:r>
      <w:r w:rsidR="00B606BF" w:rsidRPr="00674FEA">
        <w:t xml:space="preserve"> titles of the columns</w:t>
      </w:r>
      <w:r w:rsidR="00286B87">
        <w:t>.</w:t>
      </w:r>
    </w:p>
    <w:p w:rsidR="002C59CF" w:rsidRDefault="002C59CF"/>
    <w:p w:rsidR="002C59CF" w:rsidRDefault="002C59CF" w:rsidP="002C59CF">
      <w:r w:rsidRPr="00674FEA">
        <w:t>This tool can be used at the beginning of the process of integrating</w:t>
      </w:r>
      <w:r w:rsidR="00062266">
        <w:t>/evaluating</w:t>
      </w:r>
      <w:r w:rsidRPr="00674FEA">
        <w:t xml:space="preserve"> policies as well as to evaluate consistent implementation on a periodic basis. </w:t>
      </w:r>
      <w:r w:rsidR="00F17E9D">
        <w:t xml:space="preserve"> We suggest completing this tool and updating it annually, as policies and practices may change.  The overall responsible party (ORP) should be </w:t>
      </w:r>
      <w:r w:rsidR="00F17E9D">
        <w:lastRenderedPageBreak/>
        <w:t xml:space="preserve">provided with a copy of the tool and all updates.  </w:t>
      </w:r>
      <w:r w:rsidR="007F48C3">
        <w:t xml:space="preserve"> </w:t>
      </w:r>
      <w:r w:rsidR="00615196">
        <w:t xml:space="preserve">We also suggest that the tool be available to staff who manage the surveillance programs, </w:t>
      </w:r>
      <w:r w:rsidR="00A77416">
        <w:t xml:space="preserve">or are responsible for </w:t>
      </w:r>
      <w:r w:rsidR="00615196">
        <w:t xml:space="preserve">training staff </w:t>
      </w:r>
      <w:r w:rsidR="00A77416">
        <w:t xml:space="preserve">on confidentiality policies, </w:t>
      </w:r>
      <w:r w:rsidR="00615196">
        <w:t xml:space="preserve">as well as legal and IT colleagues (e.g. internal website available to staff). </w:t>
      </w:r>
    </w:p>
    <w:p w:rsidR="007F48C3" w:rsidRDefault="007F48C3" w:rsidP="002C59CF"/>
    <w:p w:rsidR="007F48C3" w:rsidRPr="00674FEA" w:rsidRDefault="007F48C3" w:rsidP="002C59CF">
      <w:r>
        <w:t>On the five sheets that list the standards for each topic area:</w:t>
      </w:r>
    </w:p>
    <w:p w:rsidR="001F5FAF" w:rsidRPr="00674FEA" w:rsidRDefault="00BF5888">
      <w:r w:rsidRPr="00674FEA">
        <w:t xml:space="preserve"> </w:t>
      </w:r>
    </w:p>
    <w:p w:rsidR="00BF5888" w:rsidRDefault="009643E5" w:rsidP="002A2D8E">
      <w:pPr>
        <w:ind w:left="1440" w:hanging="1440"/>
      </w:pPr>
      <w:r w:rsidRPr="00674FEA">
        <w:t>Column A</w:t>
      </w:r>
      <w:r w:rsidR="00810A94">
        <w:t>:</w:t>
      </w:r>
      <w:r w:rsidRPr="00674FEA">
        <w:tab/>
        <w:t>L</w:t>
      </w:r>
      <w:r w:rsidR="006F748C" w:rsidRPr="00674FEA">
        <w:t>ists all the standards</w:t>
      </w:r>
      <w:r w:rsidR="00883C87" w:rsidRPr="00674FEA">
        <w:t xml:space="preserve"> </w:t>
      </w:r>
      <w:r w:rsidR="00B6674B">
        <w:t>for each of the five topic areas</w:t>
      </w:r>
      <w:r w:rsidR="002A2D8E">
        <w:t xml:space="preserve"> along with</w:t>
      </w:r>
      <w:r w:rsidR="00CA6EDE">
        <w:t xml:space="preserve"> the periodic assessment checklist</w:t>
      </w:r>
      <w:r w:rsidR="002A2D8E">
        <w:t xml:space="preserve"> questions </w:t>
      </w:r>
      <w:r w:rsidR="00CA6EDE">
        <w:t xml:space="preserve">found in Appendix B to </w:t>
      </w:r>
      <w:r w:rsidR="002A2D8E">
        <w:t>assist with implementation</w:t>
      </w:r>
      <w:r w:rsidR="00B6674B">
        <w:t>.</w:t>
      </w:r>
      <w:r w:rsidR="00CA6EDE">
        <w:t xml:space="preserve"> The </w:t>
      </w:r>
      <w:r w:rsidR="00A50D7B">
        <w:t>content of</w:t>
      </w:r>
      <w:r w:rsidR="00CA6EDE">
        <w:t xml:space="preserve"> the questions has been slightly modified from Appendix B</w:t>
      </w:r>
      <w:r w:rsidR="00615196">
        <w:t xml:space="preserve"> to better</w:t>
      </w:r>
      <w:r w:rsidR="00A77416">
        <w:t xml:space="preserve"> distinguish</w:t>
      </w:r>
      <w:r w:rsidR="00615196">
        <w:t xml:space="preserve"> between new and existing staff</w:t>
      </w:r>
      <w:r w:rsidR="00062266">
        <w:t xml:space="preserve"> and add a few additional items</w:t>
      </w:r>
      <w:r w:rsidR="00615196">
        <w:t xml:space="preserve">.  </w:t>
      </w:r>
      <w:r w:rsidR="00A77416">
        <w:t xml:space="preserve">Questions can also be </w:t>
      </w:r>
      <w:r w:rsidR="00CA6EDE">
        <w:t xml:space="preserve"> change</w:t>
      </w:r>
      <w:r w:rsidR="00A77416">
        <w:t>d</w:t>
      </w:r>
      <w:r w:rsidR="00CA6EDE">
        <w:t xml:space="preserve"> </w:t>
      </w:r>
      <w:r w:rsidR="00615196">
        <w:t>add or separate</w:t>
      </w:r>
      <w:r w:rsidR="00A77416">
        <w:t>d</w:t>
      </w:r>
      <w:r w:rsidR="00615196">
        <w:t xml:space="preserve"> out </w:t>
      </w:r>
      <w:r w:rsidR="00CA6EDE">
        <w:t xml:space="preserve">to make the tool work for your program(s) </w:t>
      </w:r>
      <w:r w:rsidR="00A77416">
        <w:t xml:space="preserve">and health department, </w:t>
      </w:r>
      <w:r w:rsidR="00CA6EDE">
        <w:t xml:space="preserve">as long </w:t>
      </w:r>
      <w:r w:rsidR="00A77416">
        <w:t xml:space="preserve"> as</w:t>
      </w:r>
      <w:r w:rsidR="00CA6EDE">
        <w:t xml:space="preserve"> </w:t>
      </w:r>
      <w:r w:rsidR="00A77416">
        <w:t xml:space="preserve">the focus is to assess </w:t>
      </w:r>
      <w:r w:rsidR="00CA6EDE">
        <w:t>compliance with the standards.</w:t>
      </w:r>
      <w:r w:rsidR="002229F7">
        <w:t xml:space="preserve"> </w:t>
      </w:r>
    </w:p>
    <w:p w:rsidR="002229F7" w:rsidRPr="00674FEA" w:rsidRDefault="002229F7"/>
    <w:p w:rsidR="00AF53F7" w:rsidRPr="00674FEA" w:rsidRDefault="00AF53F7">
      <w:r w:rsidRPr="00674FEA">
        <w:t xml:space="preserve">The remaining columns list </w:t>
      </w:r>
      <w:r w:rsidR="001F5FAF" w:rsidRPr="00674FEA">
        <w:t xml:space="preserve">other possible </w:t>
      </w:r>
      <w:r w:rsidR="00427307" w:rsidRPr="00674FEA">
        <w:t>program</w:t>
      </w:r>
      <w:r w:rsidR="001F5FAF" w:rsidRPr="00674FEA">
        <w:t xml:space="preserve"> areas. You can </w:t>
      </w:r>
      <w:r w:rsidR="009643E5" w:rsidRPr="00674FEA">
        <w:t>rename and/or combine them</w:t>
      </w:r>
      <w:r w:rsidR="001F5FAF" w:rsidRPr="00674FEA">
        <w:t xml:space="preserve"> to fit your </w:t>
      </w:r>
      <w:r w:rsidR="00A52DCC">
        <w:t>Health Department</w:t>
      </w:r>
      <w:r w:rsidR="002229F7">
        <w:t>.</w:t>
      </w:r>
    </w:p>
    <w:p w:rsidR="00BF5888" w:rsidRPr="00674FEA" w:rsidRDefault="00BF5888"/>
    <w:p w:rsidR="00B8142E" w:rsidRPr="00674FEA" w:rsidRDefault="006F748C">
      <w:r w:rsidRPr="00674FEA">
        <w:t>Column B</w:t>
      </w:r>
      <w:r w:rsidR="00810A94">
        <w:t>:</w:t>
      </w:r>
      <w:r w:rsidR="00B8142E" w:rsidRPr="00674FEA">
        <w:t xml:space="preserve"> </w:t>
      </w:r>
      <w:r w:rsidR="00B8142E" w:rsidRPr="00674FEA">
        <w:tab/>
      </w:r>
      <w:r w:rsidR="002C59CF">
        <w:t>HIV</w:t>
      </w:r>
      <w:r w:rsidR="00EF1D47">
        <w:t xml:space="preserve"> S</w:t>
      </w:r>
      <w:r w:rsidR="002C59CF">
        <w:t>urveillance</w:t>
      </w:r>
    </w:p>
    <w:p w:rsidR="00B8142E" w:rsidRPr="00674FEA" w:rsidRDefault="006F748C" w:rsidP="00B8142E">
      <w:r w:rsidRPr="00674FEA">
        <w:t>Column C</w:t>
      </w:r>
      <w:r w:rsidR="00810A94">
        <w:t>:</w:t>
      </w:r>
      <w:r w:rsidR="00B8142E" w:rsidRPr="00674FEA">
        <w:t xml:space="preserve"> </w:t>
      </w:r>
      <w:r w:rsidR="00B8142E" w:rsidRPr="00674FEA">
        <w:tab/>
      </w:r>
      <w:r w:rsidR="00EF1D47">
        <w:t>HIV C</w:t>
      </w:r>
      <w:r w:rsidR="002C59CF">
        <w:t>are/</w:t>
      </w:r>
      <w:r w:rsidR="00EF1D47">
        <w:t>T</w:t>
      </w:r>
      <w:r w:rsidR="002C59CF">
        <w:t>reatment/</w:t>
      </w:r>
      <w:r w:rsidR="00EF1D47">
        <w:t>P</w:t>
      </w:r>
      <w:r w:rsidR="002C59CF">
        <w:t>revention</w:t>
      </w:r>
      <w:r w:rsidR="00EF1D47">
        <w:t>/</w:t>
      </w:r>
      <w:r w:rsidR="002C59CF">
        <w:t>PS</w:t>
      </w:r>
      <w:r w:rsidR="00EF1D47">
        <w:t xml:space="preserve"> (Partner Services)</w:t>
      </w:r>
    </w:p>
    <w:p w:rsidR="00B8142E" w:rsidRPr="00062266" w:rsidRDefault="006F748C" w:rsidP="00B8142E">
      <w:pPr>
        <w:rPr>
          <w:lang w:val="es-MX"/>
        </w:rPr>
      </w:pPr>
      <w:r w:rsidRPr="00313D79">
        <w:t>Column</w:t>
      </w:r>
      <w:r w:rsidRPr="00062266">
        <w:rPr>
          <w:lang w:val="es-MX"/>
        </w:rPr>
        <w:t xml:space="preserve"> D</w:t>
      </w:r>
      <w:r w:rsidR="00810A94" w:rsidRPr="00062266">
        <w:rPr>
          <w:lang w:val="es-MX"/>
        </w:rPr>
        <w:t>:</w:t>
      </w:r>
      <w:r w:rsidR="00B8142E" w:rsidRPr="00062266">
        <w:rPr>
          <w:lang w:val="es-MX"/>
        </w:rPr>
        <w:t xml:space="preserve"> </w:t>
      </w:r>
      <w:r w:rsidR="00B8142E" w:rsidRPr="00062266">
        <w:rPr>
          <w:lang w:val="es-MX"/>
        </w:rPr>
        <w:tab/>
      </w:r>
      <w:r w:rsidR="002C59CF" w:rsidRPr="00062266">
        <w:rPr>
          <w:lang w:val="es-MX"/>
        </w:rPr>
        <w:t>TB</w:t>
      </w:r>
    </w:p>
    <w:p w:rsidR="00B8142E" w:rsidRPr="00062266" w:rsidRDefault="006F748C" w:rsidP="00B8142E">
      <w:pPr>
        <w:rPr>
          <w:lang w:val="es-MX"/>
        </w:rPr>
      </w:pPr>
      <w:r w:rsidRPr="00313D79">
        <w:t>Column</w:t>
      </w:r>
      <w:r w:rsidRPr="00062266">
        <w:rPr>
          <w:lang w:val="es-MX"/>
        </w:rPr>
        <w:t xml:space="preserve"> E</w:t>
      </w:r>
      <w:r w:rsidR="00810A94" w:rsidRPr="00062266">
        <w:rPr>
          <w:lang w:val="es-MX"/>
        </w:rPr>
        <w:t>:</w:t>
      </w:r>
      <w:r w:rsidR="00B8142E" w:rsidRPr="00062266">
        <w:rPr>
          <w:lang w:val="es-MX"/>
        </w:rPr>
        <w:t xml:space="preserve"> </w:t>
      </w:r>
      <w:r w:rsidR="00B8142E" w:rsidRPr="00062266">
        <w:rPr>
          <w:lang w:val="es-MX"/>
        </w:rPr>
        <w:tab/>
      </w:r>
      <w:r w:rsidR="002C59CF" w:rsidRPr="00062266">
        <w:rPr>
          <w:lang w:val="es-MX"/>
        </w:rPr>
        <w:t>Hepatitis</w:t>
      </w:r>
    </w:p>
    <w:p w:rsidR="00B8142E" w:rsidRPr="00674FEA" w:rsidRDefault="006F748C" w:rsidP="00B8142E">
      <w:r w:rsidRPr="00674FEA">
        <w:t>Column</w:t>
      </w:r>
      <w:r w:rsidR="00AF53F7" w:rsidRPr="00674FEA">
        <w:t xml:space="preserve"> F</w:t>
      </w:r>
      <w:r w:rsidR="00810A94">
        <w:t>:</w:t>
      </w:r>
      <w:r w:rsidR="00B8142E" w:rsidRPr="00674FEA">
        <w:t xml:space="preserve"> </w:t>
      </w:r>
      <w:r w:rsidR="00B8142E" w:rsidRPr="00674FEA">
        <w:tab/>
        <w:t xml:space="preserve">STD </w:t>
      </w:r>
    </w:p>
    <w:p w:rsidR="006F748C" w:rsidRPr="00674FEA" w:rsidRDefault="006F748C" w:rsidP="006F748C">
      <w:r w:rsidRPr="00674FEA">
        <w:t>Column</w:t>
      </w:r>
      <w:r w:rsidR="00AF53F7" w:rsidRPr="00674FEA">
        <w:t xml:space="preserve"> G</w:t>
      </w:r>
      <w:r w:rsidR="00810A94">
        <w:t>:</w:t>
      </w:r>
      <w:r w:rsidR="00B8142E" w:rsidRPr="00674FEA">
        <w:t xml:space="preserve"> </w:t>
      </w:r>
      <w:r w:rsidR="00B8142E" w:rsidRPr="00674FEA">
        <w:tab/>
      </w:r>
      <w:r w:rsidR="002C59CF">
        <w:t xml:space="preserve">Agency/Legal/ for </w:t>
      </w:r>
      <w:r w:rsidR="00615196">
        <w:t xml:space="preserve">Agency </w:t>
      </w:r>
      <w:r w:rsidR="002C59CF">
        <w:t>policies that cross these areas</w:t>
      </w:r>
    </w:p>
    <w:p w:rsidR="00B8142E" w:rsidRPr="00674FEA" w:rsidRDefault="00AF53F7" w:rsidP="00B8142E">
      <w:r w:rsidRPr="00674FEA">
        <w:t>Column H</w:t>
      </w:r>
      <w:r w:rsidR="00810A94">
        <w:t>:</w:t>
      </w:r>
      <w:r w:rsidR="002C59CF">
        <w:t xml:space="preserve"> </w:t>
      </w:r>
      <w:r w:rsidR="002C59CF">
        <w:tab/>
        <w:t xml:space="preserve">IT </w:t>
      </w:r>
      <w:r w:rsidR="007F48C3">
        <w:t xml:space="preserve">Dept. </w:t>
      </w:r>
      <w:r w:rsidR="002C59CF">
        <w:t>staff</w:t>
      </w:r>
      <w:r w:rsidR="00615196">
        <w:t xml:space="preserve"> (who work for central IT, not within a disease program) </w:t>
      </w:r>
    </w:p>
    <w:p w:rsidR="00AF53F7" w:rsidRPr="00674FEA" w:rsidRDefault="00AF53F7" w:rsidP="00AF53F7">
      <w:r w:rsidRPr="00674FEA">
        <w:t>Column I</w:t>
      </w:r>
      <w:r w:rsidR="00810A94">
        <w:t>:</w:t>
      </w:r>
      <w:r w:rsidR="00B8142E" w:rsidRPr="00674FEA">
        <w:tab/>
      </w:r>
      <w:r w:rsidR="00615196">
        <w:t xml:space="preserve">Notes:  </w:t>
      </w:r>
      <w:r w:rsidR="00062266">
        <w:t>O</w:t>
      </w:r>
      <w:r w:rsidR="00615196">
        <w:t>utstanding questions</w:t>
      </w:r>
      <w:r w:rsidR="004C74A5">
        <w:t>/</w:t>
      </w:r>
      <w:r w:rsidR="00062266">
        <w:t>A</w:t>
      </w:r>
      <w:r w:rsidR="004C74A5">
        <w:t>reas for further investigation</w:t>
      </w:r>
    </w:p>
    <w:p w:rsidR="00AF53F7" w:rsidRPr="00674FEA" w:rsidRDefault="00AF53F7" w:rsidP="00AF53F7"/>
    <w:p w:rsidR="00B1161D" w:rsidRPr="00674FEA" w:rsidRDefault="00B1161D"/>
    <w:p w:rsidR="00A70E14" w:rsidRDefault="00B1161D" w:rsidP="00A70E14">
      <w:r w:rsidRPr="00674FEA">
        <w:t xml:space="preserve">For each standard and each </w:t>
      </w:r>
      <w:r w:rsidR="00427307" w:rsidRPr="00674FEA">
        <w:t>program</w:t>
      </w:r>
      <w:r w:rsidRPr="00674FEA">
        <w:t xml:space="preserve"> area</w:t>
      </w:r>
      <w:r w:rsidR="00615196">
        <w:t>,</w:t>
      </w:r>
      <w:r w:rsidRPr="00674FEA">
        <w:t xml:space="preserve"> the tool asks whether the standard is addressed in the policy</w:t>
      </w:r>
      <w:r w:rsidR="00A70E14" w:rsidRPr="00674FEA">
        <w:t xml:space="preserve">. If not, the space </w:t>
      </w:r>
      <w:r w:rsidR="00220A6A">
        <w:t xml:space="preserve">provided in the table can </w:t>
      </w:r>
      <w:r w:rsidR="00A05853">
        <w:t>b</w:t>
      </w:r>
      <w:r w:rsidR="00220A6A">
        <w:t xml:space="preserve">e used to </w:t>
      </w:r>
      <w:r w:rsidR="00A70E14" w:rsidRPr="00674FEA">
        <w:t xml:space="preserve">add whether any follow-up action is recommended or needed. If the standard is addressed in that </w:t>
      </w:r>
      <w:r w:rsidR="00427307" w:rsidRPr="00674FEA">
        <w:t>program</w:t>
      </w:r>
      <w:r w:rsidR="00A70E14" w:rsidRPr="00674FEA">
        <w:t xml:space="preserve"> area’s policy</w:t>
      </w:r>
      <w:r w:rsidR="00615196">
        <w:t>,</w:t>
      </w:r>
      <w:r w:rsidR="00A70E14" w:rsidRPr="00674FEA">
        <w:t xml:space="preserve"> the</w:t>
      </w:r>
      <w:r w:rsidR="00220A6A">
        <w:t xml:space="preserve"> s</w:t>
      </w:r>
      <w:r w:rsidR="00A70E14" w:rsidRPr="00674FEA">
        <w:t xml:space="preserve">pace </w:t>
      </w:r>
      <w:r w:rsidR="00220A6A">
        <w:t xml:space="preserve">can also be used </w:t>
      </w:r>
      <w:r w:rsidR="00A70E14" w:rsidRPr="00674FEA">
        <w:t>to add where in the policy it is located for easier retrieval when</w:t>
      </w:r>
      <w:r w:rsidR="004C74A5">
        <w:t xml:space="preserve"> or </w:t>
      </w:r>
      <w:r w:rsidR="00A70E14" w:rsidRPr="00674FEA">
        <w:t xml:space="preserve">if it is needed for integration of policies after this assessment is completed. </w:t>
      </w:r>
      <w:r w:rsidR="004C74A5">
        <w:br/>
      </w:r>
    </w:p>
    <w:p w:rsidR="00CA6EDE" w:rsidRDefault="00CA6EDE" w:rsidP="00A70E14">
      <w:r>
        <w:t xml:space="preserve">Column G is a place to record </w:t>
      </w:r>
      <w:r w:rsidR="004C74A5">
        <w:t xml:space="preserve">policies or practices </w:t>
      </w:r>
      <w:r>
        <w:t xml:space="preserve">that are determined by the Agency, legal department or the IT department </w:t>
      </w:r>
      <w:r w:rsidR="004C74A5">
        <w:t>which are not under the control of the disease program(s)</w:t>
      </w:r>
      <w:r>
        <w:t>.</w:t>
      </w:r>
      <w:r w:rsidR="004C74A5">
        <w:t xml:space="preserve"> Examples may include an agency-wide confidentiality policy to which all</w:t>
      </w:r>
      <w:r>
        <w:t xml:space="preserve"> </w:t>
      </w:r>
      <w:r w:rsidR="004C74A5">
        <w:t xml:space="preserve">programs must adhere, or protections of confidentiality that are implemented via IT controls on data access. </w:t>
      </w:r>
    </w:p>
    <w:p w:rsidR="00CA6EDE" w:rsidRPr="00674FEA" w:rsidRDefault="00CA6EDE" w:rsidP="00A70E14"/>
    <w:p w:rsidR="000058E5" w:rsidRPr="00674FEA" w:rsidRDefault="00A70E14" w:rsidP="000058E5">
      <w:r w:rsidRPr="00313D79">
        <w:t xml:space="preserve">The purpose of Column I: </w:t>
      </w:r>
      <w:r w:rsidR="00615196" w:rsidRPr="00313D79">
        <w:t>Notes: outstanding questions</w:t>
      </w:r>
      <w:r w:rsidR="00313D79" w:rsidRPr="00313D79">
        <w:t>/Areas for further investigation</w:t>
      </w:r>
      <w:r w:rsidR="001A6594" w:rsidRPr="00313D79">
        <w:t xml:space="preserve"> </w:t>
      </w:r>
      <w:r w:rsidR="000C3090" w:rsidRPr="00313D79">
        <w:t xml:space="preserve">is to have a place </w:t>
      </w:r>
      <w:r w:rsidRPr="00313D79">
        <w:t>to record what is found when comparing the policies that were assessed and/or what is recommended for meeting this standard in the final policy/policies.</w:t>
      </w:r>
      <w:r w:rsidR="009433C7" w:rsidRPr="00313D79">
        <w:t xml:space="preserve"> This would be the place to record</w:t>
      </w:r>
      <w:r w:rsidR="000C3090" w:rsidRPr="00313D79">
        <w:t xml:space="preserve"> concerns or comments about whether the policy under review is feasible for the other </w:t>
      </w:r>
      <w:r w:rsidR="000403F8" w:rsidRPr="00313D79">
        <w:t>program</w:t>
      </w:r>
      <w:r w:rsidR="000C3090" w:rsidRPr="00313D79">
        <w:t xml:space="preserve"> areas. If not, what is the concern? Does the practice in the program need to be changed to meet the standard or does the </w:t>
      </w:r>
      <w:r w:rsidR="000C3090" w:rsidRPr="00313D79">
        <w:lastRenderedPageBreak/>
        <w:t xml:space="preserve">policy under review need to be changed (but still meet the standard) in order for it to work for the other </w:t>
      </w:r>
      <w:r w:rsidR="00427307" w:rsidRPr="00313D79">
        <w:t xml:space="preserve">program </w:t>
      </w:r>
      <w:r w:rsidR="000C3090" w:rsidRPr="00313D79">
        <w:t>areas?</w:t>
      </w:r>
      <w:r w:rsidR="000058E5" w:rsidRPr="000058E5">
        <w:t xml:space="preserve"> </w:t>
      </w:r>
      <w:r w:rsidR="000058E5" w:rsidRPr="00674FEA">
        <w:t>If the tool is being used for future compliance with the standards after a policy</w:t>
      </w:r>
      <w:r w:rsidR="000058E5">
        <w:t xml:space="preserve"> or </w:t>
      </w:r>
      <w:r w:rsidR="000058E5" w:rsidRPr="00674FEA">
        <w:t>policies have been implemented</w:t>
      </w:r>
      <w:r w:rsidR="000058E5">
        <w:t>,</w:t>
      </w:r>
      <w:r w:rsidR="000058E5" w:rsidRPr="00674FEA">
        <w:t xml:space="preserve"> Column I can be used to record any follow up action that may be needed for compliance.</w:t>
      </w:r>
    </w:p>
    <w:p w:rsidR="009433C7" w:rsidRPr="00674FEA" w:rsidRDefault="009433C7" w:rsidP="00A70E14"/>
    <w:p w:rsidR="009433C7" w:rsidRPr="00674FEA" w:rsidRDefault="009433C7" w:rsidP="00A70E14"/>
    <w:p w:rsidR="00EA4888" w:rsidRPr="00674FEA" w:rsidRDefault="00B7099E" w:rsidP="00A70E14">
      <w:r>
        <w:t xml:space="preserve">For areas without policies in place for a specific standard, the tool </w:t>
      </w:r>
      <w:r w:rsidR="00220A6A">
        <w:t xml:space="preserve">provides a place to record: 1) the needs of </w:t>
      </w:r>
      <w:r>
        <w:t>each</w:t>
      </w:r>
      <w:r w:rsidR="00EA4888" w:rsidRPr="00674FEA">
        <w:t xml:space="preserve"> </w:t>
      </w:r>
      <w:r w:rsidR="00427307" w:rsidRPr="00674FEA">
        <w:t>program</w:t>
      </w:r>
      <w:r w:rsidR="000403F8" w:rsidRPr="00674FEA">
        <w:t xml:space="preserve"> </w:t>
      </w:r>
      <w:r w:rsidR="00EA4888" w:rsidRPr="00674FEA">
        <w:t>area</w:t>
      </w:r>
      <w:r w:rsidR="00220A6A">
        <w:t xml:space="preserve"> </w:t>
      </w:r>
      <w:r>
        <w:t xml:space="preserve">to be addressed to comply with the standards or </w:t>
      </w:r>
      <w:r w:rsidR="00BB6417">
        <w:t xml:space="preserve">description of </w:t>
      </w:r>
      <w:r>
        <w:t xml:space="preserve">why the standard is </w:t>
      </w:r>
      <w:r w:rsidR="00220A6A">
        <w:t>problematic</w:t>
      </w:r>
      <w:r w:rsidR="00BB6417">
        <w:t xml:space="preserve"> </w:t>
      </w:r>
      <w:r w:rsidR="00220A6A">
        <w:t xml:space="preserve">and 2) </w:t>
      </w:r>
      <w:r>
        <w:t xml:space="preserve">specific changes that would be needed </w:t>
      </w:r>
      <w:r w:rsidR="00BB6417">
        <w:t>to</w:t>
      </w:r>
      <w:r w:rsidR="00220A6A">
        <w:t xml:space="preserve"> make </w:t>
      </w:r>
      <w:r w:rsidR="00BB6417">
        <w:t xml:space="preserve">an integrated policy </w:t>
      </w:r>
      <w:r w:rsidR="00220A6A">
        <w:t xml:space="preserve">work for </w:t>
      </w:r>
      <w:r w:rsidR="00BB6417">
        <w:t xml:space="preserve">the noncompliant program </w:t>
      </w:r>
      <w:r w:rsidR="00EA4888" w:rsidRPr="00674FEA">
        <w:t>while still adhering to the standards.</w:t>
      </w:r>
      <w:r>
        <w:t xml:space="preserve"> </w:t>
      </w:r>
      <w:r w:rsidR="00BB6417">
        <w:t>In many state health departments the HIV program policy may be the closest or only policy that addresses the standards.  In that case, areas may choose to start with the HIV policy and change it to meet the needs of all</w:t>
      </w:r>
      <w:r w:rsidR="000319F6">
        <w:t xml:space="preserve"> covered </w:t>
      </w:r>
      <w:r w:rsidR="00BB6417">
        <w:t>program</w:t>
      </w:r>
      <w:r w:rsidR="000319F6">
        <w:t>s</w:t>
      </w:r>
      <w:r w:rsidR="00BB6417">
        <w:t xml:space="preserve">.     </w:t>
      </w:r>
    </w:p>
    <w:p w:rsidR="00EA4888" w:rsidRPr="00674FEA" w:rsidRDefault="00EA4888" w:rsidP="00A70E14"/>
    <w:p w:rsidR="00E070A9" w:rsidRDefault="00E070A9"/>
    <w:p w:rsidR="00DE2CEC" w:rsidRDefault="00DE2CEC"/>
    <w:p w:rsidR="00DE2CEC" w:rsidRPr="00674FEA" w:rsidRDefault="00DE2CEC"/>
    <w:sectPr w:rsidR="00DE2CEC" w:rsidRPr="00674FE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3E4" w:rsidRDefault="00E223E4" w:rsidP="00810A94">
      <w:pPr>
        <w:spacing w:line="240" w:lineRule="auto"/>
      </w:pPr>
      <w:r>
        <w:separator/>
      </w:r>
    </w:p>
  </w:endnote>
  <w:endnote w:type="continuationSeparator" w:id="0">
    <w:p w:rsidR="00E223E4" w:rsidRDefault="00E223E4" w:rsidP="00810A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3E4" w:rsidRDefault="00E223E4" w:rsidP="00810A94">
      <w:pPr>
        <w:spacing w:line="240" w:lineRule="auto"/>
      </w:pPr>
      <w:r>
        <w:separator/>
      </w:r>
    </w:p>
  </w:footnote>
  <w:footnote w:type="continuationSeparator" w:id="0">
    <w:p w:rsidR="00E223E4" w:rsidRDefault="00E223E4" w:rsidP="00810A94">
      <w:pPr>
        <w:spacing w:line="240" w:lineRule="auto"/>
      </w:pPr>
      <w:r>
        <w:continuationSeparator/>
      </w:r>
    </w:p>
  </w:footnote>
  <w:footnote w:id="1">
    <w:p w:rsidR="00E53567" w:rsidRDefault="00E53567">
      <w:pPr>
        <w:pStyle w:val="FootnoteText"/>
      </w:pPr>
      <w:r>
        <w:rPr>
          <w:rStyle w:val="FootnoteReference"/>
        </w:rPr>
        <w:footnoteRef/>
      </w:r>
      <w:r>
        <w:t xml:space="preserve"> </w:t>
      </w:r>
      <w:r w:rsidRPr="00E53567">
        <w:t>Program areas mean all diseases and programs that are to comply with the 2011 S&amp;C Guidelines.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AB1" w:rsidRPr="00EE0565" w:rsidRDefault="00A67AB1">
    <w:pPr>
      <w:pStyle w:val="Header"/>
      <w:rPr>
        <w:b/>
        <w:i/>
        <w:sz w:val="24"/>
      </w:rPr>
    </w:pPr>
    <w:r>
      <w:rPr>
        <w:b/>
        <w:i/>
        <w:sz w:val="24"/>
      </w:rPr>
      <w:t xml:space="preserve">DRAFT </w:t>
    </w:r>
    <w:r w:rsidR="009A5D7E">
      <w:rPr>
        <w:b/>
        <w:i/>
        <w:sz w:val="24"/>
      </w:rPr>
      <w:t>November 14</w:t>
    </w:r>
    <w:r w:rsidR="00E53567">
      <w:rPr>
        <w:b/>
        <w:i/>
        <w:sz w:val="24"/>
      </w:rPr>
      <w:t xml:space="preserve"> </w:t>
    </w:r>
    <w:r w:rsidRPr="00EE0565">
      <w:rPr>
        <w:b/>
        <w:i/>
        <w:sz w:val="24"/>
      </w:rPr>
      <w:t>2013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48"/>
    <w:rsid w:val="000058E5"/>
    <w:rsid w:val="000319F6"/>
    <w:rsid w:val="000403F8"/>
    <w:rsid w:val="00051E88"/>
    <w:rsid w:val="00062266"/>
    <w:rsid w:val="000C3090"/>
    <w:rsid w:val="00121061"/>
    <w:rsid w:val="0015224F"/>
    <w:rsid w:val="00171D52"/>
    <w:rsid w:val="001A6594"/>
    <w:rsid w:val="001B0448"/>
    <w:rsid w:val="001B7CBA"/>
    <w:rsid w:val="001F5FAF"/>
    <w:rsid w:val="00200287"/>
    <w:rsid w:val="00220A6A"/>
    <w:rsid w:val="002229F7"/>
    <w:rsid w:val="00253658"/>
    <w:rsid w:val="00286B87"/>
    <w:rsid w:val="002A2D8E"/>
    <w:rsid w:val="002C59CF"/>
    <w:rsid w:val="002F67BD"/>
    <w:rsid w:val="00313D79"/>
    <w:rsid w:val="003A2B36"/>
    <w:rsid w:val="003B44B2"/>
    <w:rsid w:val="00427307"/>
    <w:rsid w:val="00497721"/>
    <w:rsid w:val="004A3F20"/>
    <w:rsid w:val="004C74A5"/>
    <w:rsid w:val="005420C5"/>
    <w:rsid w:val="005B2ECC"/>
    <w:rsid w:val="005F7CD2"/>
    <w:rsid w:val="00615196"/>
    <w:rsid w:val="00674FEA"/>
    <w:rsid w:val="00683276"/>
    <w:rsid w:val="00694DEB"/>
    <w:rsid w:val="006F748C"/>
    <w:rsid w:val="00705D13"/>
    <w:rsid w:val="007075A2"/>
    <w:rsid w:val="0071301B"/>
    <w:rsid w:val="00721BDD"/>
    <w:rsid w:val="0073427B"/>
    <w:rsid w:val="00755770"/>
    <w:rsid w:val="00786EFF"/>
    <w:rsid w:val="007C6943"/>
    <w:rsid w:val="007F48C3"/>
    <w:rsid w:val="00810A94"/>
    <w:rsid w:val="00883C87"/>
    <w:rsid w:val="00884FC2"/>
    <w:rsid w:val="00892943"/>
    <w:rsid w:val="00894BF8"/>
    <w:rsid w:val="00896A6C"/>
    <w:rsid w:val="009433C7"/>
    <w:rsid w:val="009643E5"/>
    <w:rsid w:val="009A3268"/>
    <w:rsid w:val="009A5D7E"/>
    <w:rsid w:val="009B4DB1"/>
    <w:rsid w:val="009C625C"/>
    <w:rsid w:val="00A05853"/>
    <w:rsid w:val="00A50D7B"/>
    <w:rsid w:val="00A52DCC"/>
    <w:rsid w:val="00A67AB1"/>
    <w:rsid w:val="00A70E14"/>
    <w:rsid w:val="00A748D3"/>
    <w:rsid w:val="00A77416"/>
    <w:rsid w:val="00A9453C"/>
    <w:rsid w:val="00AB7D00"/>
    <w:rsid w:val="00AE2708"/>
    <w:rsid w:val="00AF53F7"/>
    <w:rsid w:val="00B1161D"/>
    <w:rsid w:val="00B25BA5"/>
    <w:rsid w:val="00B31002"/>
    <w:rsid w:val="00B31B71"/>
    <w:rsid w:val="00B45B48"/>
    <w:rsid w:val="00B606BF"/>
    <w:rsid w:val="00B6674B"/>
    <w:rsid w:val="00B7099E"/>
    <w:rsid w:val="00B8142E"/>
    <w:rsid w:val="00BB6417"/>
    <w:rsid w:val="00BC505B"/>
    <w:rsid w:val="00BE13BB"/>
    <w:rsid w:val="00BF5888"/>
    <w:rsid w:val="00C37482"/>
    <w:rsid w:val="00C938D5"/>
    <w:rsid w:val="00CA6EDE"/>
    <w:rsid w:val="00CB5D94"/>
    <w:rsid w:val="00CC0EC1"/>
    <w:rsid w:val="00CD01BD"/>
    <w:rsid w:val="00CF1C1A"/>
    <w:rsid w:val="00D14ED5"/>
    <w:rsid w:val="00D22E32"/>
    <w:rsid w:val="00D24111"/>
    <w:rsid w:val="00D864BD"/>
    <w:rsid w:val="00DE2CEC"/>
    <w:rsid w:val="00DF2025"/>
    <w:rsid w:val="00DF58B2"/>
    <w:rsid w:val="00E070A9"/>
    <w:rsid w:val="00E223E4"/>
    <w:rsid w:val="00E50AAF"/>
    <w:rsid w:val="00E53567"/>
    <w:rsid w:val="00E5372F"/>
    <w:rsid w:val="00E6520F"/>
    <w:rsid w:val="00E8704A"/>
    <w:rsid w:val="00EA4888"/>
    <w:rsid w:val="00ED251D"/>
    <w:rsid w:val="00EE0565"/>
    <w:rsid w:val="00EF1D47"/>
    <w:rsid w:val="00EF7EFC"/>
    <w:rsid w:val="00F07CDA"/>
    <w:rsid w:val="00F17E9D"/>
    <w:rsid w:val="00F26EE1"/>
    <w:rsid w:val="00F819FB"/>
    <w:rsid w:val="00F901A5"/>
    <w:rsid w:val="00FB6E67"/>
    <w:rsid w:val="00FC7A7A"/>
    <w:rsid w:val="00FF3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84FC2"/>
    <w:rPr>
      <w:sz w:val="16"/>
      <w:szCs w:val="16"/>
    </w:rPr>
  </w:style>
  <w:style w:type="paragraph" w:styleId="CommentText">
    <w:name w:val="annotation text"/>
    <w:basedOn w:val="Normal"/>
    <w:link w:val="CommentTextChar"/>
    <w:uiPriority w:val="99"/>
    <w:semiHidden/>
    <w:unhideWhenUsed/>
    <w:rsid w:val="00884FC2"/>
    <w:pPr>
      <w:spacing w:line="240" w:lineRule="auto"/>
    </w:pPr>
    <w:rPr>
      <w:sz w:val="20"/>
      <w:szCs w:val="20"/>
    </w:rPr>
  </w:style>
  <w:style w:type="character" w:customStyle="1" w:styleId="CommentTextChar">
    <w:name w:val="Comment Text Char"/>
    <w:basedOn w:val="DefaultParagraphFont"/>
    <w:link w:val="CommentText"/>
    <w:uiPriority w:val="99"/>
    <w:semiHidden/>
    <w:rsid w:val="00884FC2"/>
    <w:rPr>
      <w:sz w:val="20"/>
      <w:szCs w:val="20"/>
    </w:rPr>
  </w:style>
  <w:style w:type="paragraph" w:styleId="CommentSubject">
    <w:name w:val="annotation subject"/>
    <w:basedOn w:val="CommentText"/>
    <w:next w:val="CommentText"/>
    <w:link w:val="CommentSubjectChar"/>
    <w:uiPriority w:val="99"/>
    <w:semiHidden/>
    <w:unhideWhenUsed/>
    <w:rsid w:val="00884FC2"/>
    <w:rPr>
      <w:b/>
      <w:bCs/>
    </w:rPr>
  </w:style>
  <w:style w:type="character" w:customStyle="1" w:styleId="CommentSubjectChar">
    <w:name w:val="Comment Subject Char"/>
    <w:basedOn w:val="CommentTextChar"/>
    <w:link w:val="CommentSubject"/>
    <w:uiPriority w:val="99"/>
    <w:semiHidden/>
    <w:rsid w:val="00884FC2"/>
    <w:rPr>
      <w:b/>
      <w:bCs/>
      <w:sz w:val="20"/>
      <w:szCs w:val="20"/>
    </w:rPr>
  </w:style>
  <w:style w:type="paragraph" w:styleId="BalloonText">
    <w:name w:val="Balloon Text"/>
    <w:basedOn w:val="Normal"/>
    <w:link w:val="BalloonTextChar"/>
    <w:uiPriority w:val="99"/>
    <w:semiHidden/>
    <w:unhideWhenUsed/>
    <w:rsid w:val="00884F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FC2"/>
    <w:rPr>
      <w:rFonts w:ascii="Tahoma" w:hAnsi="Tahoma" w:cs="Tahoma"/>
      <w:sz w:val="16"/>
      <w:szCs w:val="16"/>
    </w:rPr>
  </w:style>
  <w:style w:type="paragraph" w:styleId="Header">
    <w:name w:val="header"/>
    <w:basedOn w:val="Normal"/>
    <w:link w:val="HeaderChar"/>
    <w:uiPriority w:val="99"/>
    <w:unhideWhenUsed/>
    <w:rsid w:val="00810A94"/>
    <w:pPr>
      <w:tabs>
        <w:tab w:val="center" w:pos="4680"/>
        <w:tab w:val="right" w:pos="9360"/>
      </w:tabs>
      <w:spacing w:line="240" w:lineRule="auto"/>
    </w:pPr>
  </w:style>
  <w:style w:type="character" w:customStyle="1" w:styleId="HeaderChar">
    <w:name w:val="Header Char"/>
    <w:basedOn w:val="DefaultParagraphFont"/>
    <w:link w:val="Header"/>
    <w:uiPriority w:val="99"/>
    <w:rsid w:val="00810A94"/>
  </w:style>
  <w:style w:type="paragraph" w:styleId="Footer">
    <w:name w:val="footer"/>
    <w:basedOn w:val="Normal"/>
    <w:link w:val="FooterChar"/>
    <w:uiPriority w:val="99"/>
    <w:unhideWhenUsed/>
    <w:rsid w:val="00810A94"/>
    <w:pPr>
      <w:tabs>
        <w:tab w:val="center" w:pos="4680"/>
        <w:tab w:val="right" w:pos="9360"/>
      </w:tabs>
      <w:spacing w:line="240" w:lineRule="auto"/>
    </w:pPr>
  </w:style>
  <w:style w:type="character" w:customStyle="1" w:styleId="FooterChar">
    <w:name w:val="Footer Char"/>
    <w:basedOn w:val="DefaultParagraphFont"/>
    <w:link w:val="Footer"/>
    <w:uiPriority w:val="99"/>
    <w:rsid w:val="00810A94"/>
  </w:style>
  <w:style w:type="character" w:styleId="Hyperlink">
    <w:name w:val="Hyperlink"/>
    <w:basedOn w:val="DefaultParagraphFont"/>
    <w:uiPriority w:val="99"/>
    <w:unhideWhenUsed/>
    <w:rsid w:val="004A3F20"/>
    <w:rPr>
      <w:color w:val="0000FF" w:themeColor="hyperlink"/>
      <w:u w:val="single"/>
    </w:rPr>
  </w:style>
  <w:style w:type="paragraph" w:styleId="FootnoteText">
    <w:name w:val="footnote text"/>
    <w:basedOn w:val="Normal"/>
    <w:link w:val="FootnoteTextChar"/>
    <w:uiPriority w:val="99"/>
    <w:semiHidden/>
    <w:unhideWhenUsed/>
    <w:rsid w:val="00E53567"/>
    <w:pPr>
      <w:spacing w:line="240" w:lineRule="auto"/>
    </w:pPr>
    <w:rPr>
      <w:sz w:val="20"/>
      <w:szCs w:val="20"/>
    </w:rPr>
  </w:style>
  <w:style w:type="character" w:customStyle="1" w:styleId="FootnoteTextChar">
    <w:name w:val="Footnote Text Char"/>
    <w:basedOn w:val="DefaultParagraphFont"/>
    <w:link w:val="FootnoteText"/>
    <w:uiPriority w:val="99"/>
    <w:semiHidden/>
    <w:rsid w:val="00E53567"/>
    <w:rPr>
      <w:sz w:val="20"/>
      <w:szCs w:val="20"/>
    </w:rPr>
  </w:style>
  <w:style w:type="character" w:styleId="FootnoteReference">
    <w:name w:val="footnote reference"/>
    <w:basedOn w:val="DefaultParagraphFont"/>
    <w:uiPriority w:val="99"/>
    <w:semiHidden/>
    <w:unhideWhenUsed/>
    <w:rsid w:val="00E535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84FC2"/>
    <w:rPr>
      <w:sz w:val="16"/>
      <w:szCs w:val="16"/>
    </w:rPr>
  </w:style>
  <w:style w:type="paragraph" w:styleId="CommentText">
    <w:name w:val="annotation text"/>
    <w:basedOn w:val="Normal"/>
    <w:link w:val="CommentTextChar"/>
    <w:uiPriority w:val="99"/>
    <w:semiHidden/>
    <w:unhideWhenUsed/>
    <w:rsid w:val="00884FC2"/>
    <w:pPr>
      <w:spacing w:line="240" w:lineRule="auto"/>
    </w:pPr>
    <w:rPr>
      <w:sz w:val="20"/>
      <w:szCs w:val="20"/>
    </w:rPr>
  </w:style>
  <w:style w:type="character" w:customStyle="1" w:styleId="CommentTextChar">
    <w:name w:val="Comment Text Char"/>
    <w:basedOn w:val="DefaultParagraphFont"/>
    <w:link w:val="CommentText"/>
    <w:uiPriority w:val="99"/>
    <w:semiHidden/>
    <w:rsid w:val="00884FC2"/>
    <w:rPr>
      <w:sz w:val="20"/>
      <w:szCs w:val="20"/>
    </w:rPr>
  </w:style>
  <w:style w:type="paragraph" w:styleId="CommentSubject">
    <w:name w:val="annotation subject"/>
    <w:basedOn w:val="CommentText"/>
    <w:next w:val="CommentText"/>
    <w:link w:val="CommentSubjectChar"/>
    <w:uiPriority w:val="99"/>
    <w:semiHidden/>
    <w:unhideWhenUsed/>
    <w:rsid w:val="00884FC2"/>
    <w:rPr>
      <w:b/>
      <w:bCs/>
    </w:rPr>
  </w:style>
  <w:style w:type="character" w:customStyle="1" w:styleId="CommentSubjectChar">
    <w:name w:val="Comment Subject Char"/>
    <w:basedOn w:val="CommentTextChar"/>
    <w:link w:val="CommentSubject"/>
    <w:uiPriority w:val="99"/>
    <w:semiHidden/>
    <w:rsid w:val="00884FC2"/>
    <w:rPr>
      <w:b/>
      <w:bCs/>
      <w:sz w:val="20"/>
      <w:szCs w:val="20"/>
    </w:rPr>
  </w:style>
  <w:style w:type="paragraph" w:styleId="BalloonText">
    <w:name w:val="Balloon Text"/>
    <w:basedOn w:val="Normal"/>
    <w:link w:val="BalloonTextChar"/>
    <w:uiPriority w:val="99"/>
    <w:semiHidden/>
    <w:unhideWhenUsed/>
    <w:rsid w:val="00884F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FC2"/>
    <w:rPr>
      <w:rFonts w:ascii="Tahoma" w:hAnsi="Tahoma" w:cs="Tahoma"/>
      <w:sz w:val="16"/>
      <w:szCs w:val="16"/>
    </w:rPr>
  </w:style>
  <w:style w:type="paragraph" w:styleId="Header">
    <w:name w:val="header"/>
    <w:basedOn w:val="Normal"/>
    <w:link w:val="HeaderChar"/>
    <w:uiPriority w:val="99"/>
    <w:unhideWhenUsed/>
    <w:rsid w:val="00810A94"/>
    <w:pPr>
      <w:tabs>
        <w:tab w:val="center" w:pos="4680"/>
        <w:tab w:val="right" w:pos="9360"/>
      </w:tabs>
      <w:spacing w:line="240" w:lineRule="auto"/>
    </w:pPr>
  </w:style>
  <w:style w:type="character" w:customStyle="1" w:styleId="HeaderChar">
    <w:name w:val="Header Char"/>
    <w:basedOn w:val="DefaultParagraphFont"/>
    <w:link w:val="Header"/>
    <w:uiPriority w:val="99"/>
    <w:rsid w:val="00810A94"/>
  </w:style>
  <w:style w:type="paragraph" w:styleId="Footer">
    <w:name w:val="footer"/>
    <w:basedOn w:val="Normal"/>
    <w:link w:val="FooterChar"/>
    <w:uiPriority w:val="99"/>
    <w:unhideWhenUsed/>
    <w:rsid w:val="00810A94"/>
    <w:pPr>
      <w:tabs>
        <w:tab w:val="center" w:pos="4680"/>
        <w:tab w:val="right" w:pos="9360"/>
      </w:tabs>
      <w:spacing w:line="240" w:lineRule="auto"/>
    </w:pPr>
  </w:style>
  <w:style w:type="character" w:customStyle="1" w:styleId="FooterChar">
    <w:name w:val="Footer Char"/>
    <w:basedOn w:val="DefaultParagraphFont"/>
    <w:link w:val="Footer"/>
    <w:uiPriority w:val="99"/>
    <w:rsid w:val="00810A94"/>
  </w:style>
  <w:style w:type="character" w:styleId="Hyperlink">
    <w:name w:val="Hyperlink"/>
    <w:basedOn w:val="DefaultParagraphFont"/>
    <w:uiPriority w:val="99"/>
    <w:unhideWhenUsed/>
    <w:rsid w:val="004A3F20"/>
    <w:rPr>
      <w:color w:val="0000FF" w:themeColor="hyperlink"/>
      <w:u w:val="single"/>
    </w:rPr>
  </w:style>
  <w:style w:type="paragraph" w:styleId="FootnoteText">
    <w:name w:val="footnote text"/>
    <w:basedOn w:val="Normal"/>
    <w:link w:val="FootnoteTextChar"/>
    <w:uiPriority w:val="99"/>
    <w:semiHidden/>
    <w:unhideWhenUsed/>
    <w:rsid w:val="00E53567"/>
    <w:pPr>
      <w:spacing w:line="240" w:lineRule="auto"/>
    </w:pPr>
    <w:rPr>
      <w:sz w:val="20"/>
      <w:szCs w:val="20"/>
    </w:rPr>
  </w:style>
  <w:style w:type="character" w:customStyle="1" w:styleId="FootnoteTextChar">
    <w:name w:val="Footnote Text Char"/>
    <w:basedOn w:val="DefaultParagraphFont"/>
    <w:link w:val="FootnoteText"/>
    <w:uiPriority w:val="99"/>
    <w:semiHidden/>
    <w:rsid w:val="00E53567"/>
    <w:rPr>
      <w:sz w:val="20"/>
      <w:szCs w:val="20"/>
    </w:rPr>
  </w:style>
  <w:style w:type="character" w:styleId="FootnoteReference">
    <w:name w:val="footnote reference"/>
    <w:basedOn w:val="DefaultParagraphFont"/>
    <w:uiPriority w:val="99"/>
    <w:semiHidden/>
    <w:unhideWhenUsed/>
    <w:rsid w:val="00E535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41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c.gov/nchhstp/programintegration/docs/PCSIDataSecurityGuidelines.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F8E6D-BD55-4270-9C40-955269A8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EveMoko</dc:creator>
  <cp:lastModifiedBy>EveMoko</cp:lastModifiedBy>
  <cp:revision>2</cp:revision>
  <cp:lastPrinted>2013-07-22T18:22:00Z</cp:lastPrinted>
  <dcterms:created xsi:type="dcterms:W3CDTF">2013-11-14T21:16:00Z</dcterms:created>
  <dcterms:modified xsi:type="dcterms:W3CDTF">2013-11-14T21:16:00Z</dcterms:modified>
</cp:coreProperties>
</file>